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rPr>
          <w:b/>
          <w:bCs/>
          <w:color w:val="1A1A1A"/>
          <w:sz w:val="32"/>
          <w:szCs w:val="32"/>
        </w:rPr>
        <w:t xml:space="preserve">Créer un compte Pennylane pour la facturation électronique</w:t>
      </w:r>
    </w:p>
    <w:p>
      <w:pPr>
        <w:spacing w:after="260"/>
      </w:pPr>
      <w:r>
        <w:rPr>
          <w:i/>
          <w:iCs/>
          <w:color w:val="666666"/>
          <w:sz w:val="21"/>
          <w:szCs w:val="21"/>
        </w:rPr>
        <w:t xml:space="preserve">Procédure d'accompagnement — bouton d'accès PROD-UP</w:t>
      </w:r>
    </w:p>
    <w:p>
      <w:pPr>
        <w:spacing w:after="140" w:line="300"/>
      </w:pPr>
      <w:r>
        <w:rPr>
          <w:sz w:val="21"/>
          <w:szCs w:val="21"/>
        </w:rPr>
        <w:t xml:space="preserve">Dans le cadre de la réforme de la facturation électronique (obligatoire au 1er septembre 2026), chaque société doit désigner une Plateforme Agréée (PA) pour émettre et recevoir ses factures. Le bouton « Créer un compte Pennylane », disponible depuis PROD-UP, permet d'initier directement cette démarche sans ressaisie. Cette procédure décrit le déroulé observé et les documents à préparer en amont pour la fluidifier.</w:t>
      </w:r>
    </w:p>
    <w:p>
      <w:pPr>
        <w:pStyle w:val="Heading1"/>
        <w:spacing w:after="160" w:before="320"/>
      </w:pPr>
      <w:r>
        <w:rPr>
          <w:b/>
          <w:bCs/>
          <w:color w:val="1F4E5F"/>
          <w:sz w:val="26"/>
          <w:szCs w:val="26"/>
        </w:rPr>
        <w:t xml:space="preserve">Ce qu'il faut préparer avant de commencer</w:t>
      </w:r>
    </w:p>
    <w:p>
      <w:pPr>
        <w:spacing w:after="140" w:line="300"/>
      </w:pPr>
      <w:r>
        <w:rPr>
          <w:sz w:val="21"/>
          <w:szCs w:val="21"/>
        </w:rPr>
        <w:t xml:space="preserve">Réunir les éléments suivants permet d'enchaîner toutes les étapes en une seule fois, sans interruption :</w:t>
      </w:r>
    </w:p>
    <w:p>
      <w:pPr>
        <w:pStyle w:val="ListParagraph"/>
        <w:numPr>
          <w:ilvl w:val="0"/>
          <w:numId w:val="2"/>
        </w:numPr>
        <w:spacing w:after="80" w:line="280"/>
      </w:pPr>
      <w:r>
        <w:rPr>
          <w:sz w:val="21"/>
          <w:szCs w:val="21"/>
        </w:rPr>
        <w:t xml:space="preserve">Disponibilité du dirigeant : les informations demandées concernent son identité personnelle — il doit intervenir directement (l'étape ne se délègue pas à un collaborateur).</w:t>
      </w:r>
    </w:p>
    <w:p>
      <w:pPr>
        <w:pStyle w:val="ListParagraph"/>
        <w:numPr>
          <w:ilvl w:val="0"/>
          <w:numId w:val="2"/>
        </w:numPr>
        <w:spacing w:after="80" w:line="280"/>
      </w:pPr>
      <w:r>
        <w:rPr>
          <w:sz w:val="21"/>
          <w:szCs w:val="21"/>
        </w:rPr>
        <w:t xml:space="preserve">Coordonnées du dirigeant : nom, prénom, adresse e-mail et téléphone à jour.</w:t>
      </w:r>
    </w:p>
    <w:p>
      <w:pPr>
        <w:pStyle w:val="ListParagraph"/>
        <w:numPr>
          <w:ilvl w:val="0"/>
          <w:numId w:val="2"/>
        </w:numPr>
        <w:spacing w:after="80" w:line="280"/>
      </w:pPr>
      <w:r>
        <w:rPr>
          <w:sz w:val="21"/>
          <w:szCs w:val="21"/>
        </w:rPr>
        <w:t xml:space="preserve">Coordonnées de la société : raison sociale, adresse, SIREN/SIRET et numéro de TVA intracommunautaire.</w:t>
      </w:r>
    </w:p>
    <w:p>
      <w:pPr>
        <w:pStyle w:val="ListParagraph"/>
        <w:numPr>
          <w:ilvl w:val="0"/>
          <w:numId w:val="2"/>
        </w:numPr>
        <w:spacing w:after="80" w:line="280"/>
      </w:pPr>
      <w:r>
        <w:rPr>
          <w:sz w:val="21"/>
          <w:szCs w:val="21"/>
        </w:rPr>
        <w:t xml:space="preserve">Un extrait Kbis de moins de 3 mois, au format numérique (PDF ou photo nette et lisible).</w:t>
      </w:r>
    </w:p>
    <w:p>
      <w:pPr>
        <w:pStyle w:val="ListParagraph"/>
        <w:numPr>
          <w:ilvl w:val="0"/>
          <w:numId w:val="2"/>
        </w:numPr>
        <w:spacing w:after="80" w:line="280"/>
      </w:pPr>
      <w:r>
        <w:rPr>
          <w:sz w:val="21"/>
          <w:szCs w:val="21"/>
        </w:rPr>
        <w:t xml:space="preserve">Une pièce d'identité en cours de validité du dirigeant (recto-verso), numérisée ou photographiée lisiblement.</w:t>
      </w:r>
    </w:p>
    <w:p>
      <w:pPr>
        <w:pStyle w:val="ListParagraph"/>
        <w:numPr>
          <w:ilvl w:val="0"/>
          <w:numId w:val="2"/>
        </w:numPr>
        <w:spacing w:after="80" w:line="280"/>
      </w:pPr>
      <w:r>
        <w:rPr>
          <w:sz w:val="21"/>
          <w:szCs w:val="21"/>
        </w:rPr>
        <w:t xml:space="preserve">Un accès immédiat à la messagerie du dirigeant, pour réceptionner et valider l'e-mail de confirmation envoyé par Pennylane.</w:t>
      </w:r>
    </w:p>
    <w:p>
      <w:pPr>
        <w:spacing w:after="80"/>
      </w:pPr>
    </w:p>
    <w:p>
      <w:pPr>
        <w:pStyle w:val="Heading1"/>
        <w:spacing w:after="160" w:before="320"/>
      </w:pPr>
      <w:r>
        <w:rPr>
          <w:b/>
          <w:bCs/>
          <w:color w:val="1F4E5F"/>
          <w:sz w:val="26"/>
          <w:szCs w:val="26"/>
        </w:rPr>
        <w:t xml:space="preserve">Déroulé de la procédure</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700"/>
        <w:gridCol w:w="8760"/>
      </w:tblGrid>
      <w:tr>
        <w:tc>
          <w:tcPr>
            <w:tcW w:type="dxa" w:w="700"/>
            <w:shd w:fill="1F4E5F" w:val="clear"/>
            <w:tcMar>
              <w:top w:type="dxa" w:w="80"/>
              <w:left w:type="dxa" w:w="80"/>
              <w:bottom w:type="dxa" w:w="80"/>
              <w:right w:type="dxa" w:w="80"/>
            </w:tcMar>
            <w:vAlign w:val="center"/>
          </w:tcPr>
          <w:p>
            <w:pPr>
              <w:jc w:val="center"/>
            </w:pPr>
            <w:r>
              <w:rPr>
                <w:b/>
                <w:bCs/>
                <w:color w:val="FFFFFF"/>
                <w:sz w:val="22"/>
                <w:szCs w:val="22"/>
              </w:rPr>
              <w:t xml:space="preserve">1</w:t>
            </w:r>
          </w:p>
        </w:tc>
        <w:tc>
          <w:tcPr>
            <w:tcW w:type="dxa" w:w="8760"/>
            <w:tcMar>
              <w:top w:type="dxa" w:w="60"/>
              <w:left w:type="dxa" w:w="200"/>
              <w:bottom w:type="dxa" w:w="100"/>
              <w:right w:type="dxa" w:w="100"/>
            </w:tcMar>
          </w:tcPr>
          <w:p>
            <w:pPr>
              <w:spacing w:after="60"/>
            </w:pPr>
            <w:r>
              <w:rPr>
                <w:b/>
                <w:bCs/>
                <w:color w:val="222222"/>
                <w:sz w:val="21"/>
                <w:szCs w:val="21"/>
              </w:rPr>
              <w:t xml:space="preserve">Lancer la création depuis PROD-UP</w:t>
            </w:r>
          </w:p>
          <w:p>
            <w:pPr>
              <w:spacing w:after="0" w:line="276"/>
            </w:pPr>
            <w:r>
              <w:rPr>
                <w:color w:val="444444"/>
                <w:sz w:val="20"/>
                <w:szCs w:val="20"/>
              </w:rPr>
              <w:t xml:space="preserve">Cliquer sur le bouton « Créer un compte Pennylane ». Une fenêtre (modale) s'ouvre pour démarrer la démarche.</w:t>
            </w:r>
          </w:p>
        </w:tc>
      </w:tr>
    </w:tbl>
    <w:p>
      <w:pPr>
        <w:spacing w:after="100"/>
      </w:pP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700"/>
        <w:gridCol w:w="8760"/>
      </w:tblGrid>
      <w:tr>
        <w:tc>
          <w:tcPr>
            <w:tcW w:type="dxa" w:w="700"/>
            <w:shd w:fill="1F4E5F" w:val="clear"/>
            <w:tcMar>
              <w:top w:type="dxa" w:w="80"/>
              <w:left w:type="dxa" w:w="80"/>
              <w:bottom w:type="dxa" w:w="80"/>
              <w:right w:type="dxa" w:w="80"/>
            </w:tcMar>
            <w:vAlign w:val="center"/>
          </w:tcPr>
          <w:p>
            <w:pPr>
              <w:jc w:val="center"/>
            </w:pPr>
            <w:r>
              <w:rPr>
                <w:b/>
                <w:bCs/>
                <w:color w:val="FFFFFF"/>
                <w:sz w:val="22"/>
                <w:szCs w:val="22"/>
              </w:rPr>
              <w:t xml:space="preserve">2</w:t>
            </w:r>
          </w:p>
        </w:tc>
        <w:tc>
          <w:tcPr>
            <w:tcW w:type="dxa" w:w="8760"/>
            <w:tcMar>
              <w:top w:type="dxa" w:w="60"/>
              <w:left w:type="dxa" w:w="200"/>
              <w:bottom w:type="dxa" w:w="100"/>
              <w:right w:type="dxa" w:w="100"/>
            </w:tcMar>
          </w:tcPr>
          <w:p>
            <w:pPr>
              <w:spacing w:after="60"/>
            </w:pPr>
            <w:r>
              <w:rPr>
                <w:b/>
                <w:bCs/>
                <w:color w:val="222222"/>
                <w:sz w:val="21"/>
                <w:szCs w:val="21"/>
              </w:rPr>
              <w:t xml:space="preserve">Confirmer l'identité et les coordonnées</w:t>
            </w:r>
          </w:p>
          <w:p>
            <w:pPr>
              <w:spacing w:after="0" w:line="276"/>
            </w:pPr>
            <w:r>
              <w:rPr>
                <w:color w:val="444444"/>
                <w:sz w:val="20"/>
                <w:szCs w:val="20"/>
              </w:rPr>
              <w:t xml:space="preserve">Dans la modale, vérifier et confirmer l'identité du dirigeant ainsi que ses coordonnées, puis celles de la société (raison sociale, adresse, SIREN/SIRET, TVA).</w:t>
            </w:r>
          </w:p>
        </w:tc>
      </w:tr>
    </w:tbl>
    <w:p>
      <w:pPr>
        <w:spacing w:after="100"/>
      </w:pP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700"/>
        <w:gridCol w:w="8760"/>
      </w:tblGrid>
      <w:tr>
        <w:tc>
          <w:tcPr>
            <w:tcW w:type="dxa" w:w="700"/>
            <w:shd w:fill="1F4E5F" w:val="clear"/>
            <w:tcMar>
              <w:top w:type="dxa" w:w="80"/>
              <w:left w:type="dxa" w:w="80"/>
              <w:bottom w:type="dxa" w:w="80"/>
              <w:right w:type="dxa" w:w="80"/>
            </w:tcMar>
            <w:vAlign w:val="center"/>
          </w:tcPr>
          <w:p>
            <w:pPr>
              <w:jc w:val="center"/>
            </w:pPr>
            <w:r>
              <w:rPr>
                <w:b/>
                <w:bCs/>
                <w:color w:val="FFFFFF"/>
                <w:sz w:val="22"/>
                <w:szCs w:val="22"/>
              </w:rPr>
              <w:t xml:space="preserve">3</w:t>
            </w:r>
          </w:p>
        </w:tc>
        <w:tc>
          <w:tcPr>
            <w:tcW w:type="dxa" w:w="8760"/>
            <w:tcMar>
              <w:top w:type="dxa" w:w="60"/>
              <w:left w:type="dxa" w:w="200"/>
              <w:bottom w:type="dxa" w:w="100"/>
              <w:right w:type="dxa" w:w="100"/>
            </w:tcMar>
          </w:tcPr>
          <w:p>
            <w:pPr>
              <w:spacing w:after="60"/>
            </w:pPr>
            <w:r>
              <w:rPr>
                <w:b/>
                <w:bCs/>
                <w:color w:val="222222"/>
                <w:sz w:val="21"/>
                <w:szCs w:val="21"/>
              </w:rPr>
              <w:t xml:space="preserve">Réceptionner l'e-mail de sécurisation</w:t>
            </w:r>
          </w:p>
          <w:p>
            <w:pPr>
              <w:spacing w:after="0" w:line="276"/>
            </w:pPr>
            <w:r>
              <w:rPr>
                <w:color w:val="444444"/>
                <w:sz w:val="20"/>
                <w:szCs w:val="20"/>
              </w:rPr>
              <w:t xml:space="preserve">Un e-mail est automatiquement envoyé au dirigeant afin de sécuriser la transaction. Penser à vérifier le dossier des courriers indésirables si le message n'apparaît pas rapidement.</w:t>
            </w:r>
          </w:p>
        </w:tc>
      </w:tr>
    </w:tbl>
    <w:p>
      <w:pPr>
        <w:spacing w:after="100"/>
      </w:pP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700"/>
        <w:gridCol w:w="8760"/>
      </w:tblGrid>
      <w:tr>
        <w:tc>
          <w:tcPr>
            <w:tcW w:type="dxa" w:w="700"/>
            <w:shd w:fill="1F4E5F" w:val="clear"/>
            <w:tcMar>
              <w:top w:type="dxa" w:w="80"/>
              <w:left w:type="dxa" w:w="80"/>
              <w:bottom w:type="dxa" w:w="80"/>
              <w:right w:type="dxa" w:w="80"/>
            </w:tcMar>
            <w:vAlign w:val="center"/>
          </w:tcPr>
          <w:p>
            <w:pPr>
              <w:jc w:val="center"/>
            </w:pPr>
            <w:r>
              <w:rPr>
                <w:b/>
                <w:bCs/>
                <w:color w:val="FFFFFF"/>
                <w:sz w:val="22"/>
                <w:szCs w:val="22"/>
              </w:rPr>
              <w:t xml:space="preserve">4</w:t>
            </w:r>
          </w:p>
        </w:tc>
        <w:tc>
          <w:tcPr>
            <w:tcW w:type="dxa" w:w="8760"/>
            <w:tcMar>
              <w:top w:type="dxa" w:w="60"/>
              <w:left w:type="dxa" w:w="200"/>
              <w:bottom w:type="dxa" w:w="100"/>
              <w:right w:type="dxa" w:w="100"/>
            </w:tcMar>
          </w:tcPr>
          <w:p>
            <w:pPr>
              <w:spacing w:after="60"/>
            </w:pPr>
            <w:r>
              <w:rPr>
                <w:b/>
                <w:bCs/>
                <w:color w:val="222222"/>
                <w:sz w:val="21"/>
                <w:szCs w:val="21"/>
              </w:rPr>
              <w:t xml:space="preserve">Définir le profil de la société</w:t>
            </w:r>
          </w:p>
          <w:p>
            <w:pPr>
              <w:spacing w:after="0" w:line="276"/>
            </w:pPr>
            <w:r>
              <w:rPr>
                <w:color w:val="444444"/>
                <w:sz w:val="20"/>
                <w:szCs w:val="20"/>
              </w:rPr>
              <w:t xml:space="preserve">En cliquant sur le lien reçu par e-mail, le dirigeant arrive sur une page Pennylane où il doit définir le profil de la société.</w:t>
            </w:r>
          </w:p>
        </w:tc>
      </w:tr>
    </w:tbl>
    <w:p>
      <w:pPr>
        <w:spacing w:after="100"/>
      </w:pP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700"/>
        <w:gridCol w:w="8760"/>
      </w:tblGrid>
      <w:tr>
        <w:tc>
          <w:tcPr>
            <w:tcW w:type="dxa" w:w="700"/>
            <w:shd w:fill="1F4E5F" w:val="clear"/>
            <w:tcMar>
              <w:top w:type="dxa" w:w="80"/>
              <w:left w:type="dxa" w:w="80"/>
              <w:bottom w:type="dxa" w:w="80"/>
              <w:right w:type="dxa" w:w="80"/>
            </w:tcMar>
            <w:vAlign w:val="center"/>
          </w:tcPr>
          <w:p>
            <w:pPr>
              <w:jc w:val="center"/>
            </w:pPr>
            <w:r>
              <w:rPr>
                <w:b/>
                <w:bCs/>
                <w:color w:val="FFFFFF"/>
                <w:sz w:val="22"/>
                <w:szCs w:val="22"/>
              </w:rPr>
              <w:t xml:space="preserve">5</w:t>
            </w:r>
          </w:p>
        </w:tc>
        <w:tc>
          <w:tcPr>
            <w:tcW w:type="dxa" w:w="8760"/>
            <w:tcMar>
              <w:top w:type="dxa" w:w="60"/>
              <w:left w:type="dxa" w:w="200"/>
              <w:bottom w:type="dxa" w:w="100"/>
              <w:right w:type="dxa" w:w="100"/>
            </w:tcMar>
          </w:tcPr>
          <w:p>
            <w:pPr>
              <w:spacing w:after="60"/>
            </w:pPr>
            <w:r>
              <w:rPr>
                <w:b/>
                <w:bCs/>
                <w:color w:val="222222"/>
                <w:sz w:val="21"/>
                <w:szCs w:val="21"/>
              </w:rPr>
              <w:t xml:space="preserve">Fournir les justificatifs</w:t>
            </w:r>
          </w:p>
          <w:p>
            <w:pPr>
              <w:spacing w:after="0" w:line="276"/>
            </w:pPr>
            <w:r>
              <w:rPr>
                <w:color w:val="444444"/>
                <w:sz w:val="20"/>
                <w:szCs w:val="20"/>
              </w:rPr>
              <w:t xml:space="preserve">Déposer un extrait Kbis de moins de 3 mois ainsi qu'une pièce d'identité en cours de validité du dirigeant.</w:t>
            </w:r>
          </w:p>
        </w:tc>
      </w:tr>
    </w:tbl>
    <w:p>
      <w:pPr>
        <w:spacing w:after="100"/>
      </w:pP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700"/>
        <w:gridCol w:w="8760"/>
      </w:tblGrid>
      <w:tr>
        <w:tc>
          <w:tcPr>
            <w:tcW w:type="dxa" w:w="700"/>
            <w:shd w:fill="1F4E5F" w:val="clear"/>
            <w:tcMar>
              <w:top w:type="dxa" w:w="80"/>
              <w:left w:type="dxa" w:w="80"/>
              <w:bottom w:type="dxa" w:w="80"/>
              <w:right w:type="dxa" w:w="80"/>
            </w:tcMar>
            <w:vAlign w:val="center"/>
          </w:tcPr>
          <w:p>
            <w:pPr>
              <w:jc w:val="center"/>
            </w:pPr>
            <w:r>
              <w:rPr>
                <w:b/>
                <w:bCs/>
                <w:color w:val="FFFFFF"/>
                <w:sz w:val="22"/>
                <w:szCs w:val="22"/>
              </w:rPr>
              <w:t xml:space="preserve">6</w:t>
            </w:r>
          </w:p>
        </w:tc>
        <w:tc>
          <w:tcPr>
            <w:tcW w:type="dxa" w:w="8760"/>
            <w:tcMar>
              <w:top w:type="dxa" w:w="60"/>
              <w:left w:type="dxa" w:w="200"/>
              <w:bottom w:type="dxa" w:w="100"/>
              <w:right w:type="dxa" w:w="100"/>
            </w:tcMar>
          </w:tcPr>
          <w:p>
            <w:pPr>
              <w:spacing w:after="60"/>
            </w:pPr>
            <w:r>
              <w:rPr>
                <w:b/>
                <w:bCs/>
                <w:color w:val="222222"/>
                <w:sz w:val="21"/>
                <w:szCs w:val="21"/>
              </w:rPr>
              <w:t xml:space="preserve">Attente de validation</w:t>
            </w:r>
          </w:p>
          <w:p>
            <w:pPr>
              <w:spacing w:after="0" w:line="276"/>
            </w:pPr>
            <w:r>
              <w:rPr>
                <w:color w:val="444444"/>
                <w:sz w:val="20"/>
                <w:szCs w:val="20"/>
              </w:rPr>
              <w:t xml:space="preserve">Une fois les documents transmis, le compte est placé en attente de validation par Pennylane. Aucune action supplémentaire n'est requise à ce stade.</w:t>
            </w:r>
          </w:p>
        </w:tc>
      </w:tr>
    </w:tbl>
    <w:p>
      <w:pPr>
        <w:spacing w:after="100"/>
      </w:pP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700"/>
        <w:gridCol w:w="8760"/>
      </w:tblGrid>
      <w:tr>
        <w:tc>
          <w:tcPr>
            <w:tcW w:type="dxa" w:w="700"/>
            <w:shd w:fill="1F4E5F" w:val="clear"/>
            <w:tcMar>
              <w:top w:type="dxa" w:w="80"/>
              <w:left w:type="dxa" w:w="80"/>
              <w:bottom w:type="dxa" w:w="80"/>
              <w:right w:type="dxa" w:w="80"/>
            </w:tcMar>
            <w:vAlign w:val="center"/>
          </w:tcPr>
          <w:p>
            <w:pPr>
              <w:jc w:val="center"/>
            </w:pPr>
            <w:r>
              <w:rPr>
                <w:b/>
                <w:bCs/>
                <w:color w:val="FFFFFF"/>
                <w:sz w:val="22"/>
                <w:szCs w:val="22"/>
              </w:rPr>
              <w:t xml:space="preserve">7</w:t>
            </w:r>
          </w:p>
        </w:tc>
        <w:tc>
          <w:tcPr>
            <w:tcW w:type="dxa" w:w="8760"/>
            <w:tcMar>
              <w:top w:type="dxa" w:w="60"/>
              <w:left w:type="dxa" w:w="200"/>
              <w:bottom w:type="dxa" w:w="100"/>
              <w:right w:type="dxa" w:w="100"/>
            </w:tcMar>
          </w:tcPr>
          <w:p>
            <w:pPr>
              <w:spacing w:after="60"/>
            </w:pPr>
            <w:r>
              <w:rPr>
                <w:b/>
                <w:bCs/>
                <w:color w:val="222222"/>
                <w:sz w:val="21"/>
                <w:szCs w:val="21"/>
              </w:rPr>
              <w:t xml:space="preserve">Confirmation de l'inscription</w:t>
            </w:r>
          </w:p>
          <w:p>
            <w:pPr>
              <w:spacing w:after="0" w:line="276"/>
            </w:pPr>
            <w:r>
              <w:rPr>
                <w:color w:val="444444"/>
                <w:sz w:val="20"/>
                <w:szCs w:val="20"/>
              </w:rPr>
              <w:t xml:space="preserve">Un e-mail confirme l'inscription de la société sur Pennylane une fois le dossier validé.</w:t>
            </w:r>
          </w:p>
        </w:tc>
      </w:tr>
    </w:tbl>
    <w:p>
      <w:pPr>
        <w:spacing w:after="100"/>
      </w:pP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700"/>
        <w:gridCol w:w="8760"/>
      </w:tblGrid>
      <w:tr>
        <w:tc>
          <w:tcPr>
            <w:tcW w:type="dxa" w:w="700"/>
            <w:shd w:fill="1F4E5F" w:val="clear"/>
            <w:tcMar>
              <w:top w:type="dxa" w:w="80"/>
              <w:left w:type="dxa" w:w="80"/>
              <w:bottom w:type="dxa" w:w="80"/>
              <w:right w:type="dxa" w:w="80"/>
            </w:tcMar>
            <w:vAlign w:val="center"/>
          </w:tcPr>
          <w:p>
            <w:pPr>
              <w:jc w:val="center"/>
            </w:pPr>
            <w:r>
              <w:rPr>
                <w:b/>
                <w:bCs/>
                <w:color w:val="FFFFFF"/>
                <w:sz w:val="22"/>
                <w:szCs w:val="22"/>
              </w:rPr>
              <w:t xml:space="preserve">8</w:t>
            </w:r>
          </w:p>
        </w:tc>
        <w:tc>
          <w:tcPr>
            <w:tcW w:type="dxa" w:w="8760"/>
            <w:tcMar>
              <w:top w:type="dxa" w:w="60"/>
              <w:left w:type="dxa" w:w="200"/>
              <w:bottom w:type="dxa" w:w="100"/>
              <w:right w:type="dxa" w:w="100"/>
            </w:tcMar>
          </w:tcPr>
          <w:p>
            <w:pPr>
              <w:spacing w:after="60"/>
            </w:pPr>
            <w:r>
              <w:rPr>
                <w:b/>
                <w:bCs/>
                <w:color w:val="222222"/>
                <w:sz w:val="21"/>
                <w:szCs w:val="21"/>
              </w:rPr>
              <w:t xml:space="preserve">Sélectionner la formule Essentiel</w:t>
            </w:r>
          </w:p>
          <w:p>
            <w:pPr>
              <w:spacing w:after="0" w:line="276"/>
            </w:pPr>
            <w:r>
              <w:rPr>
                <w:color w:val="444444"/>
                <w:sz w:val="20"/>
                <w:szCs w:val="20"/>
              </w:rPr>
              <w:t xml:space="preserve">Pour permettre la liaison entre Pennylane et PROD-UP, sélectionner la formule Essentiel (1 utilisateur) : c'est la première formule de la gamme à proposer l'API et les intégrations avec les outils du quotidien.</w:t>
            </w:r>
          </w:p>
        </w:tc>
      </w:tr>
    </w:tbl>
    <w:p>
      <w:pPr>
        <w:spacing w:after="100"/>
      </w:pP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700"/>
        <w:gridCol w:w="8760"/>
      </w:tblGrid>
      <w:tr>
        <w:tc>
          <w:tcPr>
            <w:tcW w:type="dxa" w:w="700"/>
            <w:shd w:fill="1F4E5F" w:val="clear"/>
            <w:tcMar>
              <w:top w:type="dxa" w:w="80"/>
              <w:left w:type="dxa" w:w="80"/>
              <w:bottom w:type="dxa" w:w="80"/>
              <w:right w:type="dxa" w:w="80"/>
            </w:tcMar>
            <w:vAlign w:val="center"/>
          </w:tcPr>
          <w:p>
            <w:pPr>
              <w:jc w:val="center"/>
            </w:pPr>
            <w:r>
              <w:rPr>
                <w:b/>
                <w:bCs/>
                <w:color w:val="FFFFFF"/>
                <w:sz w:val="22"/>
                <w:szCs w:val="22"/>
              </w:rPr>
              <w:t xml:space="preserve">9</w:t>
            </w:r>
          </w:p>
        </w:tc>
        <w:tc>
          <w:tcPr>
            <w:tcW w:type="dxa" w:w="8760"/>
            <w:tcMar>
              <w:top w:type="dxa" w:w="60"/>
              <w:left w:type="dxa" w:w="200"/>
              <w:bottom w:type="dxa" w:w="100"/>
              <w:right w:type="dxa" w:w="100"/>
            </w:tcMar>
          </w:tcPr>
          <w:p>
            <w:pPr>
              <w:spacing w:after="60"/>
            </w:pPr>
            <w:r>
              <w:rPr>
                <w:b/>
                <w:bCs/>
                <w:color w:val="222222"/>
                <w:sz w:val="21"/>
                <w:szCs w:val="21"/>
              </w:rPr>
              <w:t xml:space="preserve">Synchronisation automatique</w:t>
            </w:r>
          </w:p>
          <w:p>
            <w:pPr>
              <w:spacing w:after="0" w:line="276"/>
            </w:pPr>
            <w:r>
              <w:rPr>
                <w:color w:val="444444"/>
                <w:sz w:val="20"/>
                <w:szCs w:val="20"/>
              </w:rPr>
              <w:t xml:space="preserve">Une fois la formule Essentiel activée, la synchronisation avec PROD-UP est automatique : les factures fournisseurs adressées à la société apparaissent directement dans la boîte de réception des factures fournisseurs, et les factures clients s'exportent dès qu'elles sont finalisées. La société est connectée à sa plateforme agréée : elle est conforme à l'obligation de facturation électronique.</w:t>
            </w:r>
          </w:p>
        </w:tc>
      </w:tr>
    </w:tbl>
    <w:p>
      <w:pPr>
        <w:spacing w:after="140"/>
      </w:pPr>
    </w:p>
    <w:p>
      <w:pPr>
        <w:pStyle w:val="Heading2"/>
        <w:spacing w:after="120" w:before="240"/>
      </w:pPr>
      <w:r>
        <w:rPr>
          <w:b/>
          <w:bCs/>
          <w:color w:val="1F4E5F"/>
          <w:sz w:val="22"/>
          <w:szCs w:val="22"/>
        </w:rPr>
        <w:t xml:space="preserve">Formules Pennylane : laquelle choisir pour lier PROD-UP ?</w:t>
      </w:r>
    </w:p>
    <w:p>
      <w:pPr>
        <w:spacing w:after="140" w:line="300"/>
      </w:pPr>
      <w:r>
        <w:rPr>
          <w:sz w:val="21"/>
          <w:szCs w:val="21"/>
        </w:rPr>
        <w:t xml:space="preserve">La formule Essentiel (pour 1 utilisateur) est la première formule à ouvrir l'accès à l'API et aux intégrations. Les formules Free, Starter et Basique, plus limitées, ne permettent pas de connecter Pennylane à PROD-UP — même si elles suffisent à la seule conformité facturation électronique.</w:t>
      </w:r>
    </w:p>
    <w:tbl>
      <w:tblPr>
        <w:tblW w:type="pct" w:w="100%"/>
        <w:tblBorders>
          <w:top w:val="single" w:color="CCCCCC" w:sz="4"/>
          <w:left w:val="single" w:color="CCCCCC" w:sz="4"/>
          <w:bottom w:val="single" w:color="CCCCCC" w:sz="4"/>
          <w:right w:val="single" w:color="CCCCCC" w:sz="4"/>
          <w:insideH w:val="single" w:color="CCCCCC" w:sz="4"/>
          <w:insideV w:val="single" w:color="CCCCCC" w:sz="4"/>
        </w:tblBorders>
      </w:tblPr>
      <w:tblGrid>
        <w:gridCol w:w="1600"/>
        <w:gridCol w:w="4460"/>
        <w:gridCol w:w="3400"/>
      </w:tblGrid>
      <w:tr>
        <w:trPr>
          <w:tblHeader/>
        </w:trPr>
        <w:tc>
          <w:tcPr>
            <w:shd w:fill="1F4E5F" w:val="clear"/>
            <w:tcMar>
              <w:top w:type="dxa" w:w="90"/>
              <w:left w:type="dxa" w:w="120"/>
              <w:bottom w:type="dxa" w:w="90"/>
              <w:right w:type="dxa" w:w="120"/>
            </w:tcMar>
          </w:tcPr>
          <w:p>
            <w:r>
              <w:rPr>
                <w:b/>
                <w:bCs/>
                <w:color w:val="FFFFFF"/>
                <w:sz w:val="19"/>
                <w:szCs w:val="19"/>
              </w:rPr>
              <w:t xml:space="preserve">Formule</w:t>
            </w:r>
          </w:p>
        </w:tc>
        <w:tc>
          <w:tcPr>
            <w:shd w:fill="1F4E5F" w:val="clear"/>
            <w:tcMar>
              <w:top w:type="dxa" w:w="90"/>
              <w:left w:type="dxa" w:w="120"/>
              <w:bottom w:type="dxa" w:w="90"/>
              <w:right w:type="dxa" w:w="120"/>
            </w:tcMar>
          </w:tcPr>
          <w:p>
            <w:r>
              <w:rPr>
                <w:b/>
                <w:bCs/>
                <w:color w:val="FFFFFF"/>
                <w:sz w:val="19"/>
                <w:szCs w:val="19"/>
              </w:rPr>
              <w:t xml:space="preserve">Fonctionnalité déterminante</w:t>
            </w:r>
          </w:p>
        </w:tc>
        <w:tc>
          <w:tcPr>
            <w:shd w:fill="1F4E5F" w:val="clear"/>
            <w:tcMar>
              <w:top w:type="dxa" w:w="90"/>
              <w:left w:type="dxa" w:w="120"/>
              <w:bottom w:type="dxa" w:w="90"/>
              <w:right w:type="dxa" w:w="120"/>
            </w:tcMar>
          </w:tcPr>
          <w:p>
            <w:r>
              <w:rPr>
                <w:b/>
                <w:bCs/>
                <w:color w:val="FFFFFF"/>
                <w:sz w:val="19"/>
                <w:szCs w:val="19"/>
              </w:rPr>
              <w:t xml:space="preserve">Accès API / intégrations</w:t>
            </w:r>
          </w:p>
        </w:tc>
      </w:tr>
      <w:tr>
        <w:tc>
          <w:tcPr>
            <w:shd w:fill="FFFFFF" w:val="clear"/>
            <w:tcMar>
              <w:top w:type="dxa" w:w="90"/>
              <w:left w:type="dxa" w:w="120"/>
              <w:bottom w:type="dxa" w:w="90"/>
              <w:right w:type="dxa" w:w="120"/>
            </w:tcMar>
          </w:tcPr>
          <w:p>
            <w:r>
              <w:rPr>
                <w:b w:val="false"/>
                <w:bCs w:val="false"/>
                <w:color w:val="333333"/>
                <w:sz w:val="19"/>
                <w:szCs w:val="19"/>
              </w:rPr>
              <w:t xml:space="preserve">Free</w:t>
            </w:r>
          </w:p>
        </w:tc>
        <w:tc>
          <w:tcPr>
            <w:shd w:fill="FFFFFF" w:val="clear"/>
            <w:tcMar>
              <w:top w:type="dxa" w:w="90"/>
              <w:left w:type="dxa" w:w="120"/>
              <w:bottom w:type="dxa" w:w="90"/>
              <w:right w:type="dxa" w:w="120"/>
            </w:tcMar>
          </w:tcPr>
          <w:p>
            <w:r>
              <w:rPr>
                <w:b w:val="false"/>
                <w:bCs w:val="false"/>
                <w:color w:val="333333"/>
                <w:sz w:val="19"/>
                <w:szCs w:val="19"/>
              </w:rPr>
              <w:t xml:space="preserve">Facturation électronique de base</w:t>
            </w:r>
          </w:p>
        </w:tc>
        <w:tc>
          <w:tcPr>
            <w:shd w:fill="FFFFFF" w:val="clear"/>
            <w:tcMar>
              <w:top w:type="dxa" w:w="90"/>
              <w:left w:type="dxa" w:w="120"/>
              <w:bottom w:type="dxa" w:w="90"/>
              <w:right w:type="dxa" w:w="120"/>
            </w:tcMar>
          </w:tcPr>
          <w:p>
            <w:r>
              <w:rPr>
                <w:b w:val="false"/>
                <w:bCs w:val="false"/>
                <w:color w:val="333333"/>
                <w:sz w:val="19"/>
                <w:szCs w:val="19"/>
              </w:rPr>
              <w:t xml:space="preserve">Non</w:t>
            </w:r>
          </w:p>
        </w:tc>
      </w:tr>
      <w:tr>
        <w:tc>
          <w:tcPr>
            <w:shd w:fill="FFFFFF" w:val="clear"/>
            <w:tcMar>
              <w:top w:type="dxa" w:w="90"/>
              <w:left w:type="dxa" w:w="120"/>
              <w:bottom w:type="dxa" w:w="90"/>
              <w:right w:type="dxa" w:w="120"/>
            </w:tcMar>
          </w:tcPr>
          <w:p>
            <w:r>
              <w:rPr>
                <w:b w:val="false"/>
                <w:bCs w:val="false"/>
                <w:color w:val="333333"/>
                <w:sz w:val="19"/>
                <w:szCs w:val="19"/>
              </w:rPr>
              <w:t xml:space="preserve">Starter</w:t>
            </w:r>
          </w:p>
        </w:tc>
        <w:tc>
          <w:tcPr>
            <w:shd w:fill="FFFFFF" w:val="clear"/>
            <w:tcMar>
              <w:top w:type="dxa" w:w="90"/>
              <w:left w:type="dxa" w:w="120"/>
              <w:bottom w:type="dxa" w:w="90"/>
              <w:right w:type="dxa" w:w="120"/>
            </w:tcMar>
          </w:tcPr>
          <w:p>
            <w:r>
              <w:rPr>
                <w:b w:val="false"/>
                <w:bCs w:val="false"/>
                <w:color w:val="333333"/>
                <w:sz w:val="19"/>
                <w:szCs w:val="19"/>
              </w:rPr>
              <w:t xml:space="preserve">Compte Pro et paiements</w:t>
            </w:r>
          </w:p>
        </w:tc>
        <w:tc>
          <w:tcPr>
            <w:shd w:fill="FFFFFF" w:val="clear"/>
            <w:tcMar>
              <w:top w:type="dxa" w:w="90"/>
              <w:left w:type="dxa" w:w="120"/>
              <w:bottom w:type="dxa" w:w="90"/>
              <w:right w:type="dxa" w:w="120"/>
            </w:tcMar>
          </w:tcPr>
          <w:p>
            <w:r>
              <w:rPr>
                <w:b w:val="false"/>
                <w:bCs w:val="false"/>
                <w:color w:val="333333"/>
                <w:sz w:val="19"/>
                <w:szCs w:val="19"/>
              </w:rPr>
              <w:t xml:space="preserve">Non</w:t>
            </w:r>
          </w:p>
        </w:tc>
      </w:tr>
      <w:tr>
        <w:tc>
          <w:tcPr>
            <w:shd w:fill="FFFFFF" w:val="clear"/>
            <w:tcMar>
              <w:top w:type="dxa" w:w="90"/>
              <w:left w:type="dxa" w:w="120"/>
              <w:bottom w:type="dxa" w:w="90"/>
              <w:right w:type="dxa" w:w="120"/>
            </w:tcMar>
          </w:tcPr>
          <w:p>
            <w:r>
              <w:rPr>
                <w:b w:val="false"/>
                <w:bCs w:val="false"/>
                <w:color w:val="333333"/>
                <w:sz w:val="19"/>
                <w:szCs w:val="19"/>
              </w:rPr>
              <w:t xml:space="preserve">Basique</w:t>
            </w:r>
          </w:p>
        </w:tc>
        <w:tc>
          <w:tcPr>
            <w:shd w:fill="FFFFFF" w:val="clear"/>
            <w:tcMar>
              <w:top w:type="dxa" w:w="90"/>
              <w:left w:type="dxa" w:w="120"/>
              <w:bottom w:type="dxa" w:w="90"/>
              <w:right w:type="dxa" w:w="120"/>
            </w:tcMar>
          </w:tcPr>
          <w:p>
            <w:r>
              <w:rPr>
                <w:b w:val="false"/>
                <w:bCs w:val="false"/>
                <w:color w:val="333333"/>
                <w:sz w:val="19"/>
                <w:szCs w:val="19"/>
              </w:rPr>
              <w:t xml:space="preserve">Acomptes et documents commerciaux</w:t>
            </w:r>
          </w:p>
        </w:tc>
        <w:tc>
          <w:tcPr>
            <w:shd w:fill="FFFFFF" w:val="clear"/>
            <w:tcMar>
              <w:top w:type="dxa" w:w="90"/>
              <w:left w:type="dxa" w:w="120"/>
              <w:bottom w:type="dxa" w:w="90"/>
              <w:right w:type="dxa" w:w="120"/>
            </w:tcMar>
          </w:tcPr>
          <w:p>
            <w:r>
              <w:rPr>
                <w:b w:val="false"/>
                <w:bCs w:val="false"/>
                <w:color w:val="333333"/>
                <w:sz w:val="19"/>
                <w:szCs w:val="19"/>
              </w:rPr>
              <w:t xml:space="preserve">Non</w:t>
            </w:r>
          </w:p>
        </w:tc>
      </w:tr>
      <w:tr>
        <w:tc>
          <w:tcPr>
            <w:shd w:fill="EEF3F4" w:val="clear"/>
            <w:tcMar>
              <w:top w:type="dxa" w:w="90"/>
              <w:left w:type="dxa" w:w="120"/>
              <w:bottom w:type="dxa" w:w="90"/>
              <w:right w:type="dxa" w:w="120"/>
            </w:tcMar>
          </w:tcPr>
          <w:p>
            <w:r>
              <w:rPr>
                <w:b/>
                <w:bCs/>
                <w:color w:val="1F4E5F"/>
                <w:sz w:val="19"/>
                <w:szCs w:val="19"/>
              </w:rPr>
              <w:t xml:space="preserve">Essentiel</w:t>
            </w:r>
          </w:p>
        </w:tc>
        <w:tc>
          <w:tcPr>
            <w:shd w:fill="EEF3F4" w:val="clear"/>
            <w:tcMar>
              <w:top w:type="dxa" w:w="90"/>
              <w:left w:type="dxa" w:w="120"/>
              <w:bottom w:type="dxa" w:w="90"/>
              <w:right w:type="dxa" w:w="120"/>
            </w:tcMar>
          </w:tcPr>
          <w:p>
            <w:r>
              <w:rPr>
                <w:b/>
                <w:bCs/>
                <w:color w:val="1F4E5F"/>
                <w:sz w:val="19"/>
                <w:szCs w:val="19"/>
              </w:rPr>
              <w:t xml:space="preserve">Automatisations, relances, trésorerie</w:t>
            </w:r>
          </w:p>
        </w:tc>
        <w:tc>
          <w:tcPr>
            <w:shd w:fill="EEF3F4" w:val="clear"/>
            <w:tcMar>
              <w:top w:type="dxa" w:w="90"/>
              <w:left w:type="dxa" w:w="120"/>
              <w:bottom w:type="dxa" w:w="90"/>
              <w:right w:type="dxa" w:w="120"/>
            </w:tcMar>
          </w:tcPr>
          <w:p>
            <w:r>
              <w:rPr>
                <w:b/>
                <w:bCs/>
                <w:color w:val="1F4E5F"/>
                <w:sz w:val="19"/>
                <w:szCs w:val="19"/>
              </w:rPr>
              <w:t xml:space="preserve">Oui — première formule à la proposer</w:t>
            </w:r>
          </w:p>
        </w:tc>
      </w:tr>
    </w:tbl>
    <w:p>
      <w:pPr>
        <w:spacing w:after="80"/>
      </w:pPr>
    </w:p>
    <w:p>
      <w:pPr>
        <w:spacing w:after="140" w:line="300"/>
      </w:pPr>
      <w:r>
        <w:rPr>
          <w:i/>
          <w:iCs/>
          <w:color w:val="888888"/>
          <w:sz w:val="17"/>
          <w:szCs w:val="17"/>
        </w:rPr>
        <w:t xml:space="preserve">Comparatif établi pour la formule à 1 utilisateur. Les tarifs, non indiqués ici car susceptibles d'évoluer, sont consultables sur pennylane.com/tarifs.</w:t>
      </w:r>
    </w:p>
    <w:p>
      <w:pPr>
        <w:spacing w:after="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460"/>
      </w:tblGrid>
      <w:tr>
        <w:tc>
          <w:tcPr>
            <w:tcW w:type="dxa" w:w="9460"/>
            <w:tcBorders>
              <w:top w:val="single" w:color="1F4E5F" w:sz="4"/>
              <w:left w:val="single" w:color="1F4E5F" w:sz="4"/>
              <w:bottom w:val="single" w:color="1F4E5F" w:sz="4"/>
              <w:right w:val="single" w:color="1F4E5F" w:sz="4"/>
            </w:tcBorders>
            <w:shd w:fill="EEF3F4" w:val="clear"/>
            <w:tcMar>
              <w:top w:type="dxa" w:w="160"/>
              <w:left w:type="dxa" w:w="200"/>
              <w:bottom w:type="dxa" w:w="160"/>
              <w:right w:type="dxa" w:w="200"/>
            </w:tcMar>
          </w:tcPr>
          <w:p>
            <w:pPr>
              <w:spacing w:after="80"/>
            </w:pPr>
            <w:r>
              <w:rPr>
                <w:b/>
                <w:bCs/>
                <w:color w:val="1F4E5F"/>
                <w:sz w:val="21"/>
                <w:szCs w:val="21"/>
              </w:rPr>
              <w:t xml:space="preserve">Points de vigilance</w:t>
            </w:r>
          </w:p>
          <w:p>
            <w:pPr>
              <w:pStyle w:val="ListParagraph"/>
              <w:numPr>
                <w:ilvl w:val="0"/>
                <w:numId w:val="3"/>
              </w:numPr>
              <w:spacing w:after="60" w:line="270"/>
            </w:pPr>
            <w:r>
              <w:rPr>
                <w:color w:val="333333"/>
                <w:sz w:val="20"/>
                <w:szCs w:val="20"/>
              </w:rPr>
              <w:t xml:space="preserve">Le Kbis doit dater de moins de 3 mois : un document plus ancien devra être régénéré avant l'envoi.</w:t>
            </w:r>
          </w:p>
          <w:p>
            <w:pPr>
              <w:pStyle w:val="ListParagraph"/>
              <w:numPr>
                <w:ilvl w:val="0"/>
                <w:numId w:val="3"/>
              </w:numPr>
              <w:spacing w:after="60" w:line="270"/>
            </w:pPr>
            <w:r>
              <w:rPr>
                <w:color w:val="333333"/>
                <w:sz w:val="20"/>
                <w:szCs w:val="20"/>
              </w:rPr>
              <w:t xml:space="preserve">Les documents transmis doivent être lisibles et complets pour éviter un rejet ou un allongement du délai de vérification.</w:t>
            </w:r>
          </w:p>
          <w:p>
            <w:pPr>
              <w:pStyle w:val="ListParagraph"/>
              <w:numPr>
                <w:ilvl w:val="0"/>
                <w:numId w:val="3"/>
              </w:numPr>
              <w:spacing w:after="60" w:line="270"/>
            </w:pPr>
            <w:r>
              <w:rPr>
                <w:color w:val="333333"/>
                <w:sz w:val="20"/>
                <w:szCs w:val="20"/>
              </w:rPr>
              <w:t xml:space="preserve">L'e-mail de confirmation peut atterrir dans les spams : prévenir le client avant l'envoi peut éviter une perte de temps.</w:t>
            </w:r>
          </w:p>
          <w:p>
            <w:pPr>
              <w:pStyle w:val="ListParagraph"/>
              <w:numPr>
                <w:ilvl w:val="0"/>
                <w:numId w:val="3"/>
              </w:numPr>
              <w:spacing w:after="60" w:line="270"/>
            </w:pPr>
            <w:r>
              <w:rPr>
                <w:color w:val="333333"/>
                <w:sz w:val="20"/>
                <w:szCs w:val="20"/>
              </w:rPr>
              <w:t xml:space="preserve">Le dirigeant doit être en mesure d'intervenir personnellement au moment de l'envoi (identité et coordonnées lui sont demandées directement).</w:t>
            </w:r>
          </w:p>
        </w:tc>
      </w:tr>
    </w:tbl>
    <w:p>
      <w:pPr>
        <w:spacing w:after="160"/>
      </w:pPr>
    </w:p>
    <w:p>
      <w:pPr>
        <w:pStyle w:val="Heading2"/>
        <w:spacing w:after="120" w:before="240"/>
      </w:pPr>
      <w:r>
        <w:rPr>
          <w:b/>
          <w:bCs/>
          <w:color w:val="1F4E5F"/>
          <w:sz w:val="22"/>
          <w:szCs w:val="22"/>
        </w:rPr>
        <w:t xml:space="preserve">Résultat</w:t>
      </w:r>
    </w:p>
    <w:p>
      <w:pPr>
        <w:spacing w:after="140" w:line="300"/>
      </w:pPr>
      <w:r>
        <w:rPr>
          <w:sz w:val="21"/>
          <w:szCs w:val="21"/>
        </w:rPr>
        <w:t xml:space="preserve">À l'issue de ces étapes, la société est connectée à sa plateforme agréée et conforme à l'obligation de facturation électronique. La réception des factures fournisseurs et l'export des factures clients se font ensuite automatiquement, sans action manuelle.</w:t>
      </w:r>
    </w:p>
    <w:sectPr>
      <w:headerReference w:type="default" r:id="rId7"/>
      <w:footerReference w:type="default" r:id="rId8"/>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Page </w:t>
    </w:r>
    <w:r>
      <w:rPr>
        <w:color w:val="888888"/>
        <w:sz w:val="16"/>
        <w:szCs w:val="16"/>
      </w:rPr>
      <w:fldChar w:fldCharType="begin"/>
      <w:instrText xml:space="preserve">PAGE</w:instrText>
      <w:fldChar w:fldCharType="separate"/>
      <w:fldChar w:fldCharType="end"/>
    </w:r>
    <w:r>
      <w:rPr>
        <w:color w:val="888888"/>
        <w:sz w:val="16"/>
        <w:szCs w:val="16"/>
      </w:rPr>
      <w:t xml:space="preserve"> / </w:t>
    </w:r>
    <w:r>
      <w:rPr>
        <w:color w:val="88888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88888"/>
        <w:sz w:val="16"/>
        <w:szCs w:val="16"/>
      </w:rPr>
      <w:t xml:space="preserve">PROD-UP — Procédure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20"/>
      </w:pPr>
    </w:lvl>
  </w:abstractNum>
  <w:abstractNum w:abstractNumId="3" w15:restartNumberingAfterBreak="0">
    <w:multiLevelType w:val="hybridMultilevel"/>
    <w:lvl w:ilvl="0" w15:tentative="1">
      <w:start w:val="1"/>
      <w:numFmt w:val="bullet"/>
      <w:lvlText w:val="–"/>
      <w:lvlJc w:val="left"/>
      <w:pPr>
        <w:ind w:left="300" w:hanging="2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2026-08-25T12:12:04.176Z</dcterms:created>
  <dcterms:modified xsi:type="dcterms:W3CDTF">2026-08-25T12:12:04.189Z</dcterms:modified>
</cp:coreProperties>
</file>

<file path=docProps/custom.xml><?xml version="1.0" encoding="utf-8"?>
<Properties xmlns="http://schemas.openxmlformats.org/officeDocument/2006/custom-properties" xmlns:vt="http://schemas.openxmlformats.org/officeDocument/2006/docPropsVTypes"/>
</file>